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40E" w:rsidRPr="00C96082" w:rsidRDefault="00FF140E" w:rsidP="00FF140E">
      <w:pPr>
        <w:spacing w:after="0" w:line="240" w:lineRule="auto"/>
        <w:jc w:val="center"/>
        <w:rPr>
          <w:rFonts w:ascii="Times New Roman" w:hAnsi="Times New Roman" w:cs="Times New Roman"/>
          <w:b/>
          <w:u w:val="single"/>
        </w:rPr>
      </w:pPr>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F140E" w:rsidRPr="00FF140E" w:rsidRDefault="00FF140E" w:rsidP="00FF140E">
      <w:pPr>
        <w:spacing w:after="0" w:line="240" w:lineRule="auto"/>
        <w:jc w:val="center"/>
        <w:rPr>
          <w:rFonts w:ascii="Times New Roman" w:hAnsi="Times New Roman" w:cs="Times New Roman"/>
          <w:b/>
        </w:rPr>
      </w:pPr>
      <w:r w:rsidRPr="00FF140E">
        <w:rPr>
          <w:rFonts w:ascii="Times New Roman" w:hAnsi="Times New Roman" w:cs="Times New Roman"/>
          <w:b/>
        </w:rPr>
        <w:t>12 month – non-transportation/maintenance</w:t>
      </w:r>
    </w:p>
    <w:p w:rsidR="00FF140E" w:rsidRPr="00C96082" w:rsidRDefault="00FF140E" w:rsidP="00FF140E">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workers comp</w:t>
      </w:r>
      <w:r>
        <w:rPr>
          <w:rFonts w:ascii="Times New Roman" w:hAnsi="Times New Roman" w:cs="Times New Roman"/>
        </w:rPr>
        <w:t>.</w:t>
      </w:r>
    </w:p>
    <w:p w:rsidR="00FF140E" w:rsidRPr="00C96082" w:rsidRDefault="00FF140E" w:rsidP="00FF140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F140E" w:rsidRPr="00C96082" w:rsidRDefault="00FF140E" w:rsidP="00FF140E">
      <w:pPr>
        <w:pStyle w:val="ListParagraph"/>
        <w:numPr>
          <w:ilvl w:val="0"/>
          <w:numId w:val="4"/>
        </w:numPr>
        <w:spacing w:after="0" w:line="240" w:lineRule="auto"/>
        <w:rPr>
          <w:rFonts w:ascii="Times New Roman" w:hAnsi="Times New Roman" w:cs="Times New Roman"/>
        </w:rPr>
      </w:pPr>
      <w:bookmarkStart w:id="0"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FF140E" w:rsidRDefault="00FF140E" w:rsidP="00FF140E">
      <w:pPr>
        <w:pStyle w:val="ListParagraph"/>
        <w:numPr>
          <w:ilvl w:val="0"/>
          <w:numId w:val="4"/>
        </w:numPr>
        <w:spacing w:after="0" w:line="240" w:lineRule="auto"/>
        <w:rPr>
          <w:rFonts w:ascii="Times New Roman" w:hAnsi="Times New Roman" w:cs="Times New Roman"/>
        </w:rPr>
      </w:pPr>
      <w:r w:rsidRPr="00FF140E">
        <w:rPr>
          <w:rFonts w:ascii="Times New Roman" w:hAnsi="Times New Roman" w:cs="Times New Roman"/>
        </w:rPr>
        <w:t xml:space="preserve">Fully paid lunch hour daily and still allows employee to take full hour lunch </w:t>
      </w:r>
      <w:bookmarkEnd w:id="0"/>
    </w:p>
    <w:p w:rsidR="00FF140E" w:rsidRPr="00C96082" w:rsidRDefault="00FF140E" w:rsidP="00FF140E">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bookmarkEnd w:id="2"/>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higher degreed staff</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bookmarkStart w:id="3" w:name="_Hlk80974978"/>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p w:rsidR="00FF140E" w:rsidRPr="00C96082" w:rsidRDefault="00FF140E" w:rsidP="00FF140E">
      <w:pPr>
        <w:pStyle w:val="ListParagraph"/>
        <w:numPr>
          <w:ilvl w:val="0"/>
          <w:numId w:val="3"/>
        </w:numPr>
        <w:spacing w:after="0" w:line="240" w:lineRule="auto"/>
        <w:rPr>
          <w:rFonts w:ascii="Times New Roman" w:hAnsi="Times New Roman" w:cs="Times New Roman"/>
        </w:rPr>
      </w:pPr>
      <w:bookmarkStart w:id="4" w:name="_Hlk80974884"/>
      <w:bookmarkEnd w:id="3"/>
      <w:r w:rsidRPr="00C96082">
        <w:rPr>
          <w:rFonts w:ascii="Times New Roman" w:hAnsi="Times New Roman" w:cs="Times New Roman"/>
        </w:rPr>
        <w:t>Free Direct Deposit of payroll checks</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F140E" w:rsidRPr="00C96082" w:rsidRDefault="00FF140E" w:rsidP="00FF140E">
      <w:pPr>
        <w:spacing w:after="0" w:line="240" w:lineRule="auto"/>
        <w:rPr>
          <w:rFonts w:ascii="Times New Roman" w:hAnsi="Times New Roman" w:cs="Times New Roman"/>
        </w:rPr>
      </w:pPr>
    </w:p>
    <w:p w:rsidR="00FF140E" w:rsidRPr="00C96082" w:rsidRDefault="00FF140E" w:rsidP="00FF140E">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F140E" w:rsidRPr="00C96082" w:rsidRDefault="00FF140E" w:rsidP="00FF140E">
      <w:pPr>
        <w:pStyle w:val="ListParagraph"/>
        <w:numPr>
          <w:ilvl w:val="0"/>
          <w:numId w:val="3"/>
        </w:numPr>
        <w:spacing w:after="0" w:line="240" w:lineRule="auto"/>
        <w:rPr>
          <w:rFonts w:ascii="Times New Roman" w:hAnsi="Times New Roman" w:cs="Times New Roman"/>
        </w:rPr>
      </w:pPr>
      <w:bookmarkStart w:id="5"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5"/>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F140E"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unpaid leave of absence for up to one year that protects the person’s right to return to work at the same or similar job</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F140E"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F140E"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F140E" w:rsidRPr="00FF140E" w:rsidRDefault="00FF140E" w:rsidP="00FF140E">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FF140E" w:rsidRPr="00C96082" w:rsidRDefault="00FF140E" w:rsidP="00FF140E">
      <w:pPr>
        <w:spacing w:after="0" w:line="240" w:lineRule="auto"/>
        <w:rPr>
          <w:rFonts w:ascii="Times New Roman" w:hAnsi="Times New Roman" w:cs="Times New Roman"/>
        </w:rPr>
      </w:pPr>
    </w:p>
    <w:p w:rsidR="00FF140E" w:rsidRPr="00C96082" w:rsidRDefault="00FF140E" w:rsidP="00FF140E">
      <w:pPr>
        <w:spacing w:after="0" w:line="240" w:lineRule="auto"/>
        <w:jc w:val="center"/>
        <w:rPr>
          <w:rFonts w:ascii="Times New Roman" w:hAnsi="Times New Roman" w:cs="Times New Roman"/>
          <w:b/>
          <w:i/>
        </w:rPr>
      </w:pPr>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FF140E" w:rsidRPr="00C96082" w:rsidRDefault="00FF140E" w:rsidP="00FF140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FF140E" w:rsidRPr="00C96082" w:rsidRDefault="00FF140E" w:rsidP="00FF140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Option to work from home during COVID quarantines and closures</w:t>
      </w:r>
      <w:r>
        <w:rPr>
          <w:rFonts w:ascii="Times New Roman" w:hAnsi="Times New Roman" w:cs="Times New Roman"/>
        </w:rPr>
        <w:t>.</w:t>
      </w:r>
    </w:p>
    <w:p w:rsidR="00FF140E" w:rsidRPr="00C96082" w:rsidRDefault="00FF140E" w:rsidP="00FF140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FF140E" w:rsidRPr="00C96082" w:rsidRDefault="00FF140E" w:rsidP="00FF140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F140E" w:rsidRDefault="00FF140E" w:rsidP="00FF140E">
      <w:pPr>
        <w:spacing w:after="0" w:line="240" w:lineRule="auto"/>
        <w:jc w:val="center"/>
        <w:rPr>
          <w:rFonts w:ascii="Times New Roman" w:hAnsi="Times New Roman" w:cs="Times New Roman"/>
          <w:b/>
          <w:i/>
        </w:rPr>
      </w:pPr>
    </w:p>
    <w:p w:rsidR="00FF140E" w:rsidRPr="00C96082" w:rsidRDefault="00FF140E" w:rsidP="00FF140E">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Mobile d</w:t>
      </w:r>
      <w:r w:rsidRPr="00C96082">
        <w:rPr>
          <w:rFonts w:ascii="Times New Roman" w:hAnsi="Times New Roman" w:cs="Times New Roman"/>
        </w:rPr>
        <w:t>igital devices</w:t>
      </w:r>
      <w:r>
        <w:rPr>
          <w:rFonts w:ascii="Times New Roman" w:hAnsi="Times New Roman" w:cs="Times New Roman"/>
        </w:rPr>
        <w:t xml:space="preserve"> for all staff.</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Cell phones for key administrators</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Free internet access </w:t>
      </w:r>
    </w:p>
    <w:p w:rsidR="00FF140E" w:rsidRPr="00C96082"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FF140E" w:rsidRDefault="00FF140E" w:rsidP="00FF140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bonding employees responsible for handling money and property</w:t>
      </w:r>
      <w:r>
        <w:rPr>
          <w:rFonts w:ascii="Times New Roman" w:hAnsi="Times New Roman" w:cs="Times New Roman"/>
        </w:rPr>
        <w:t>.</w:t>
      </w:r>
    </w:p>
    <w:p w:rsidR="00F2038B" w:rsidRPr="00F2038B" w:rsidRDefault="00F2038B" w:rsidP="00F2038B">
      <w:pPr>
        <w:pStyle w:val="ListParagraph"/>
        <w:numPr>
          <w:ilvl w:val="0"/>
          <w:numId w:val="3"/>
        </w:numPr>
        <w:rPr>
          <w:rFonts w:ascii="Times New Roman" w:hAnsi="Times New Roman" w:cs="Times New Roman"/>
        </w:rPr>
      </w:pPr>
      <w:r w:rsidRPr="00F2038B">
        <w:rPr>
          <w:rFonts w:ascii="Times New Roman" w:hAnsi="Times New Roman" w:cs="Times New Roman"/>
        </w:rPr>
        <w:t>Funding per student for school advisory councils – funding varies based on funding available in Educational Enhancement Discretionary Lottery/School Recognition funding in the FEFP.</w:t>
      </w:r>
      <w:bookmarkStart w:id="6" w:name="_GoBack"/>
      <w:bookmarkEnd w:id="6"/>
    </w:p>
    <w:p w:rsidR="00CC4AA5" w:rsidRDefault="00CC4AA5"/>
    <w:sectPr w:rsidR="00CC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E"/>
    <w:rsid w:val="00CC4AA5"/>
    <w:rsid w:val="00F2038B"/>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33E"/>
  <w15:chartTrackingRefBased/>
  <w15:docId w15:val="{6E547B4A-58A5-459A-8C38-54A4330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2021-08-28T08:46:00Z</dcterms:created>
  <dcterms:modified xsi:type="dcterms:W3CDTF">2021-09-02T20:04:00Z</dcterms:modified>
</cp:coreProperties>
</file>